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191" w:lineRule="auto"/>
        <w:ind w:left="89"/>
        <w:rPr>
          <w:rFonts w:ascii="黑体" w:hAnsi="黑体" w:eastAsia="黑体" w:cs="黑体"/>
          <w:sz w:val="33"/>
          <w:szCs w:val="33"/>
        </w:rPr>
      </w:pPr>
      <w:r>
        <w:rPr>
          <w:rFonts w:ascii="黑体" w:hAnsi="黑体" w:eastAsia="黑体" w:cs="黑体"/>
          <w:b/>
          <w:bCs/>
          <w:spacing w:val="11"/>
          <w:sz w:val="33"/>
          <w:szCs w:val="33"/>
        </w:rPr>
        <w:t>Annexe 1</w:t>
      </w:r>
    </w:p>
    <w:p>
      <w:pPr>
        <w:spacing w:line="221" w:lineRule="auto"/>
        <w:ind w:left="3411"/>
        <w:rPr>
          <w:rFonts w:ascii="宋体" w:hAnsi="宋体" w:eastAsia="宋体" w:cs="宋体"/>
          <w:sz w:val="44"/>
          <w:szCs w:val="44"/>
        </w:rPr>
      </w:pPr>
      <w:r>
        <w:rPr>
          <w:rFonts w:ascii="宋体" w:hAnsi="宋体" w:eastAsia="宋体" w:cs="宋体"/>
          <w:b/>
          <w:bCs/>
          <w:spacing w:val="-7"/>
          <w:sz w:val="44"/>
          <w:szCs w:val="44"/>
        </w:rPr>
        <w:t>Itinéraire à l'étranger "double attraction</w:t>
      </w:r>
    </w:p>
    <w:p/>
    <w:p>
      <w:pPr>
        <w:spacing w:line="222"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379"/>
        <w:gridCol w:w="1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Numéro de série</w:t>
            </w:r>
          </w:p>
        </w:tc>
        <w:tc>
          <w:tcPr>
            <w:tcW w:w="1379" w:type="dxa"/>
            <w:vAlign w:val="top"/>
          </w:tcPr>
          <w:p>
            <w:pPr>
              <w:spacing w:before="164" w:line="220" w:lineRule="auto"/>
              <w:ind w:left="370"/>
              <w:rPr>
                <w:rFonts w:ascii="宋体" w:hAnsi="宋体" w:eastAsia="宋体" w:cs="宋体"/>
                <w:sz w:val="22"/>
                <w:szCs w:val="22"/>
              </w:rPr>
            </w:pPr>
            <w:r>
              <w:rPr>
                <w:rFonts w:ascii="宋体" w:hAnsi="宋体" w:eastAsia="宋体" w:cs="宋体"/>
                <w:spacing w:val="5"/>
                <w:sz w:val="22"/>
                <w:szCs w:val="22"/>
              </w:rPr>
              <w:t>Programme</w:t>
            </w:r>
          </w:p>
        </w:tc>
        <w:tc>
          <w:tcPr>
            <w:tcW w:w="11236" w:type="dxa"/>
            <w:vAlign w:val="top"/>
          </w:tcPr>
          <w:p>
            <w:pPr>
              <w:spacing w:before="164" w:line="219" w:lineRule="auto"/>
              <w:ind w:left="5042"/>
              <w:rPr>
                <w:rFonts w:ascii="宋体" w:hAnsi="宋体" w:eastAsia="宋体" w:cs="宋体"/>
                <w:sz w:val="22"/>
                <w:szCs w:val="22"/>
              </w:rPr>
            </w:pPr>
            <w:r>
              <w:rPr>
                <w:rFonts w:ascii="宋体" w:hAnsi="宋体" w:eastAsia="宋体" w:cs="宋体"/>
                <w:spacing w:val="-15"/>
                <w:sz w:val="22"/>
                <w:szCs w:val="22"/>
              </w:rPr>
              <w:t>Contenu de la route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934"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72" w:line="184" w:lineRule="auto"/>
              <w:ind w:left="405"/>
              <w:rPr>
                <w:rFonts w:ascii="宋体" w:hAnsi="宋体" w:eastAsia="宋体" w:cs="宋体"/>
                <w:sz w:val="22"/>
                <w:szCs w:val="22"/>
              </w:rPr>
            </w:pPr>
            <w:r>
              <w:rPr>
                <w:rFonts w:ascii="宋体" w:hAnsi="宋体" w:eastAsia="宋体" w:cs="宋体"/>
                <w:sz w:val="22"/>
                <w:szCs w:val="22"/>
              </w:rPr>
              <w:t>1</w:t>
            </w:r>
          </w:p>
        </w:tc>
        <w:tc>
          <w:tcPr>
            <w:tcW w:w="1379" w:type="dxa"/>
            <w:vAlign w:val="top"/>
          </w:tcPr>
          <w:p>
            <w:pPr>
              <w:spacing w:line="365" w:lineRule="auto"/>
              <w:rPr>
                <w:rFonts w:ascii="Arial"/>
                <w:sz w:val="21"/>
              </w:rPr>
            </w:pPr>
          </w:p>
          <w:p>
            <w:pPr>
              <w:spacing w:before="72" w:line="211" w:lineRule="auto"/>
              <w:ind w:left="121"/>
              <w:rPr>
                <w:rFonts w:ascii="宋体" w:hAnsi="宋体" w:eastAsia="宋体" w:cs="宋体"/>
                <w:sz w:val="22"/>
                <w:szCs w:val="22"/>
              </w:rPr>
            </w:pPr>
            <w:r>
              <w:rPr>
                <w:rFonts w:ascii="宋体" w:hAnsi="宋体" w:eastAsia="宋体" w:cs="宋体"/>
                <w:spacing w:val="4"/>
                <w:sz w:val="22"/>
                <w:szCs w:val="22"/>
              </w:rPr>
              <w:t>Aller en Australie</w:t>
            </w:r>
          </w:p>
          <w:p>
            <w:pPr>
              <w:spacing w:before="1" w:line="202" w:lineRule="auto"/>
              <w:ind w:left="121" w:right="129"/>
              <w:rPr>
                <w:rFonts w:ascii="宋体" w:hAnsi="宋体" w:eastAsia="宋体" w:cs="宋体"/>
                <w:sz w:val="22"/>
                <w:szCs w:val="22"/>
              </w:rPr>
            </w:pPr>
            <w:r>
              <w:rPr>
                <w:rFonts w:ascii="宋体" w:hAnsi="宋体" w:eastAsia="宋体" w:cs="宋体"/>
                <w:spacing w:val="2"/>
                <w:sz w:val="22"/>
                <w:szCs w:val="22"/>
              </w:rPr>
              <w:t>A. Nouvelle - Zélande effectue une mission « double appel »</w:t>
            </w:r>
          </w:p>
        </w:tc>
        <w:tc>
          <w:tcPr>
            <w:tcW w:w="11236" w:type="dxa"/>
            <w:vAlign w:val="top"/>
          </w:tcPr>
          <w:p>
            <w:pPr>
              <w:spacing w:before="27" w:line="219" w:lineRule="auto"/>
              <w:ind w:left="155"/>
              <w:rPr>
                <w:rFonts w:ascii="宋体" w:hAnsi="宋体" w:eastAsia="宋体" w:cs="宋体"/>
                <w:sz w:val="22"/>
                <w:szCs w:val="22"/>
              </w:rPr>
            </w:pPr>
            <w:r>
              <w:rPr>
                <w:rFonts w:ascii="宋体" w:hAnsi="宋体" w:eastAsia="宋体" w:cs="宋体"/>
                <w:b/>
                <w:bCs/>
                <w:spacing w:val="26"/>
                <w:sz w:val="22"/>
                <w:szCs w:val="22"/>
              </w:rPr>
              <w:t>Australie, Nouvelle - Zélande 2 pays pour un total de 8 jours de voyage.</w:t>
            </w:r>
          </w:p>
          <w:p>
            <w:pPr>
              <w:tabs>
                <w:tab w:val="left" w:pos="11224"/>
              </w:tabs>
              <w:spacing w:before="65" w:line="251" w:lineRule="auto"/>
              <w:ind w:left="152"/>
              <w:jc w:val="both"/>
              <w:rPr>
                <w:rFonts w:ascii="宋体" w:hAnsi="宋体" w:eastAsia="宋体" w:cs="宋体"/>
                <w:sz w:val="21"/>
                <w:szCs w:val="21"/>
              </w:rPr>
            </w:pPr>
            <w:r>
              <w:rPr>
                <w:rFonts w:ascii="宋体" w:hAnsi="宋体" w:eastAsia="宋体" w:cs="宋体"/>
                <w:spacing w:val="9"/>
                <w:sz w:val="21"/>
                <w:szCs w:val="21"/>
              </w:rPr>
              <w:t>Organisation à Canberra d'une « Conférence d'accueil sur l'introduction de projets à double appel pour les entreprises de haute technologie d'Australie et de Chine », invitant les représentants des entreprises chinoises, des universités et des centres de recherche et développement australiens à échanger avec le Hebei sur les projets et les questions d'introduction de talents; Visitez la « Silicon Valley » d’adélaïde, le lot Fourteen innovation Technology Park (qui comprend des domaines tels que l’intelligence artificielle, la cybersécurité, les capteurs intelligents, la robotique et le Big Data), le premier Living Lab d’australie, pour en apprendre davantage sur les ressources technologiques de pointe du monde et connecter les forces traditionnelles et émergentes de la chaîne industrielle sino - australienne. Visite à l'Université de technologie d'Auckland. L'Institut d'innovation de l'Université d'Auckland (Hebei) a fourni une plate - forme et des services d'entrepreneuriat aux experts étrangers, un engagement profond et un mentorat pour l'entrepreneuriat des experts étrangers dans le Hebei, y compris l'industrialisation de la technologie, les opérations de commercialisation des entreprises, la formation d'équipes nationales, Le marché, le capital et l'interconnexion industrielle. (l'itinéraire réel du voyage peut être adapté aux besoins des unités inscrites)</w:t>
            </w:r>
            <w:r>
              <w:rPr>
                <w:rFonts w:ascii="宋体" w:hAnsi="宋体" w:eastAsia="宋体" w:cs="宋体"/>
                <w:sz w:val="21"/>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93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2" w:line="183" w:lineRule="auto"/>
              <w:ind w:left="405"/>
              <w:rPr>
                <w:rFonts w:ascii="宋体" w:hAnsi="宋体" w:eastAsia="宋体" w:cs="宋体"/>
                <w:sz w:val="22"/>
                <w:szCs w:val="22"/>
              </w:rPr>
            </w:pPr>
            <w:r>
              <w:rPr>
                <w:rFonts w:ascii="宋体" w:hAnsi="宋体" w:eastAsia="宋体" w:cs="宋体"/>
                <w:sz w:val="22"/>
                <w:szCs w:val="22"/>
              </w:rPr>
              <w:t>2</w:t>
            </w:r>
          </w:p>
        </w:tc>
        <w:tc>
          <w:tcPr>
            <w:tcW w:w="137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01" w:lineRule="auto"/>
              <w:ind w:left="11" w:right="131" w:firstLine="110"/>
              <w:jc w:val="both"/>
              <w:rPr>
                <w:rFonts w:ascii="宋体" w:hAnsi="宋体" w:eastAsia="宋体" w:cs="宋体"/>
                <w:sz w:val="22"/>
                <w:szCs w:val="22"/>
              </w:rPr>
            </w:pPr>
            <w:r>
              <w:rPr>
                <w:rFonts w:ascii="宋体" w:hAnsi="宋体" w:eastAsia="宋体" w:cs="宋体"/>
                <w:spacing w:val="-2"/>
                <w:sz w:val="22"/>
                <w:szCs w:val="22"/>
              </w:rPr>
              <w:t>En Allemagne, en Suisse, en Italie "double - tour</w:t>
            </w:r>
          </w:p>
          <w:p>
            <w:pPr>
              <w:spacing w:line="220" w:lineRule="auto"/>
              <w:ind w:left="121"/>
              <w:rPr>
                <w:rFonts w:ascii="宋体" w:hAnsi="宋体" w:eastAsia="宋体" w:cs="宋体"/>
                <w:sz w:val="22"/>
                <w:szCs w:val="22"/>
              </w:rPr>
            </w:pPr>
            <w:r>
              <w:rPr>
                <w:rFonts w:ascii="宋体" w:hAnsi="宋体" w:eastAsia="宋体" w:cs="宋体"/>
                <w:spacing w:val="3"/>
                <w:sz w:val="22"/>
                <w:szCs w:val="22"/>
              </w:rPr>
              <w:t>« mission de visite »</w:t>
            </w:r>
          </w:p>
        </w:tc>
        <w:tc>
          <w:tcPr>
            <w:tcW w:w="11236" w:type="dxa"/>
            <w:vAlign w:val="top"/>
          </w:tcPr>
          <w:p>
            <w:pPr>
              <w:spacing w:before="170" w:line="219" w:lineRule="auto"/>
              <w:ind w:left="155"/>
              <w:rPr>
                <w:rFonts w:ascii="宋体" w:hAnsi="宋体" w:eastAsia="宋体" w:cs="宋体"/>
                <w:sz w:val="22"/>
                <w:szCs w:val="22"/>
              </w:rPr>
            </w:pPr>
            <w:r>
              <w:rPr>
                <w:rFonts w:ascii="宋体" w:hAnsi="宋体" w:eastAsia="宋体" w:cs="宋体"/>
                <w:b/>
                <w:bCs/>
                <w:spacing w:val="25"/>
                <w:sz w:val="22"/>
                <w:szCs w:val="22"/>
              </w:rPr>
              <w:t>Allemagne, Suisse, Italie 3 pays pour un total de 10 jours de voyage.</w:t>
            </w:r>
          </w:p>
          <w:p>
            <w:pPr>
              <w:spacing w:before="68" w:line="247" w:lineRule="auto"/>
              <w:ind w:left="152" w:right="47"/>
              <w:jc w:val="both"/>
              <w:rPr>
                <w:rFonts w:ascii="宋体" w:hAnsi="宋体" w:eastAsia="宋体" w:cs="宋体"/>
                <w:sz w:val="22"/>
                <w:szCs w:val="22"/>
              </w:rPr>
            </w:pPr>
            <w:r>
              <w:rPr>
                <w:rFonts w:ascii="宋体" w:hAnsi="宋体" w:eastAsia="宋体" w:cs="宋体"/>
                <w:spacing w:val="1"/>
                <w:sz w:val="22"/>
                <w:szCs w:val="22"/>
              </w:rPr>
              <w:t>Visiter des groupes d'enseignement social et professionnel européens et des bases de formation pratique pour collaborer avec des établissements d'enseignement professionnel et des instituts de formation pratique locaux sur des questions de formation appliquée telles que l'apprentissage, l'introduction de talents et les stages à l'étranger; Visite de la Dresden Chip Academy pour discuter de l'introduction du projet et de la construction du parc de circuits intégrés dans le Hebei; Visitez la société allemande Harman pour discuter de l'introduction de la technologie d'étanchéité (principalement pour l'industrie des chaudières de chauffage - technologie de chauffage à condensation, entreprises pharmaceutiques, industrie alimentaire, fabrication d'équipements, technologie aérospatiale, fabrication navale, industrie des appareils ménagers, aciéries, verreries, etc.); Visitez l'Association professionnelle du Service de l'éducation de l'ambassade de Chine en Allemagne et visitez I BASF, la plus grande société chimique du monde (top 500 des entreprises mondiales), one think - EPP (SAP), le plus grand fournisseur mondial de solutions de gestion d'entreprise (deuxième plus grande société de Cloud au monde), pour échanger et explorer les défis et les nouvelles opportunités auxquels sont confrontées les multinationales qui construisent des usines dans le Hebei et les entreprises du Hebei. Visite de l'Office des Nations Unies à Genève, leader mondial des technologies de l'énergie et de l'automatisation (top 500 des entreprises mondiales) un groupe suisse ABB; Visitez l'atelier de verrerie de Venise, en Italie, et la société sarnik de Milan pour discuter d'un projet de poinçon de métallisation tournante pour la verrerie. (l'itinéraire réel du voyage peut être adapté aux besoins des unités inscrites)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9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1" w:line="183" w:lineRule="auto"/>
              <w:ind w:left="405"/>
              <w:rPr>
                <w:rFonts w:ascii="宋体" w:hAnsi="宋体" w:eastAsia="宋体" w:cs="宋体"/>
                <w:sz w:val="22"/>
                <w:szCs w:val="22"/>
              </w:rPr>
            </w:pPr>
            <w:r>
              <w:rPr>
                <w:rFonts w:ascii="宋体" w:hAnsi="宋体" w:eastAsia="宋体" w:cs="宋体"/>
                <w:sz w:val="22"/>
                <w:szCs w:val="22"/>
              </w:rPr>
              <w:t>3</w:t>
            </w:r>
          </w:p>
        </w:tc>
        <w:tc>
          <w:tcPr>
            <w:tcW w:w="1379" w:type="dxa"/>
            <w:vAlign w:val="top"/>
          </w:tcPr>
          <w:p>
            <w:pPr>
              <w:spacing w:line="402" w:lineRule="auto"/>
              <w:rPr>
                <w:rFonts w:ascii="Arial"/>
                <w:sz w:val="21"/>
              </w:rPr>
            </w:pPr>
          </w:p>
          <w:p>
            <w:pPr>
              <w:spacing w:before="72" w:line="200" w:lineRule="auto"/>
              <w:ind w:left="121" w:right="108"/>
              <w:jc w:val="both"/>
              <w:rPr>
                <w:rFonts w:ascii="宋体" w:hAnsi="宋体" w:eastAsia="宋体" w:cs="宋体"/>
                <w:sz w:val="22"/>
                <w:szCs w:val="22"/>
              </w:rPr>
            </w:pPr>
            <w:r>
              <w:rPr>
                <w:rFonts w:ascii="宋体" w:hAnsi="宋体" w:eastAsia="宋体" w:cs="宋体"/>
                <w:spacing w:val="-2"/>
                <w:sz w:val="22"/>
                <w:szCs w:val="22"/>
              </w:rPr>
              <w:t>Mission « double appel » au Costa Rica, Argentine, Brésil</w:t>
            </w:r>
          </w:p>
        </w:tc>
        <w:tc>
          <w:tcPr>
            <w:tcW w:w="11236" w:type="dxa"/>
            <w:vAlign w:val="top"/>
          </w:tcPr>
          <w:p>
            <w:pPr>
              <w:spacing w:before="74" w:line="219" w:lineRule="auto"/>
              <w:ind w:left="155"/>
              <w:rPr>
                <w:rFonts w:ascii="宋体" w:hAnsi="宋体" w:eastAsia="宋体" w:cs="宋体"/>
                <w:sz w:val="22"/>
                <w:szCs w:val="22"/>
              </w:rPr>
            </w:pPr>
            <w:r>
              <w:rPr>
                <w:rFonts w:ascii="宋体" w:hAnsi="宋体" w:eastAsia="宋体" w:cs="宋体"/>
                <w:b/>
                <w:bCs/>
                <w:spacing w:val="24"/>
                <w:sz w:val="22"/>
                <w:szCs w:val="22"/>
              </w:rPr>
              <w:t>Brésil, Argentine, Costa Rica 3 pays pour un total de 10 jours de voyage.</w:t>
            </w:r>
          </w:p>
          <w:p>
            <w:pPr>
              <w:spacing w:before="43" w:line="245" w:lineRule="auto"/>
              <w:ind w:left="152" w:right="44"/>
              <w:rPr>
                <w:rFonts w:ascii="宋体" w:hAnsi="宋体" w:eastAsia="宋体" w:cs="宋体"/>
                <w:sz w:val="22"/>
                <w:szCs w:val="22"/>
              </w:rPr>
            </w:pPr>
            <w:r>
              <w:rPr>
                <w:rFonts w:ascii="宋体" w:hAnsi="宋体" w:eastAsia="宋体" w:cs="宋体"/>
                <w:spacing w:val="1"/>
                <w:sz w:val="22"/>
                <w:szCs w:val="22"/>
              </w:rPr>
              <w:t>Participation à la 28e édition du salon médical international de São Paulo (Brésil) ou à l'exposition Argentine de fournitures médicales et d'équipements de réadaptation; Organisation du lancement de la « double attraction » de l'établissement médical du Hebei, introduction d'excellentes compétences et d'équipements techniques dans l'industrie; Visite de l'Association brésilienne des incubateurs de parcs scientifiques et technologiques pour rencontrer des entreprises locales et des équipes techniques innovantes; Visite de la salle de simulation de réadaptation médicale de l'Université de Buenos Aires, en Argentine, pour la formation de professionnels de la santé et l'introduction de talents; Visitez le Centre d'innovation médicale du Costa Rica, la zone franche de coyole et les fabricants de dispositifs médicaux pour obtenir des informations médicales de pointe et aider les institutions pharmaceutiques à introduire de nouveaux modèles de soins de santé. (l'itinéraire réel du voyage peut être adapté aux besoins des unités inscrites)</w:t>
            </w:r>
          </w:p>
        </w:tc>
      </w:tr>
    </w:tbl>
    <w:p>
      <w:pPr>
        <w:sectPr>
          <w:footerReference r:id="rId5" w:type="default"/>
          <w:pgSz w:w="16840" w:h="11910"/>
          <w:pgMar w:top="1012" w:right="1265" w:bottom="1313" w:left="2014" w:header="0" w:footer="1025" w:gutter="0"/>
          <w:cols w:space="720" w:num="1"/>
        </w:sectPr>
      </w:pPr>
      <w:bookmarkStart w:id="0" w:name="_GoBack"/>
      <w:bookmarkEnd w:id="0"/>
    </w:p>
    <w:p/>
    <w:p>
      <w:pPr>
        <w:spacing w:line="131"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389"/>
        <w:gridCol w:w="1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Numéro de série</w:t>
            </w:r>
          </w:p>
        </w:tc>
        <w:tc>
          <w:tcPr>
            <w:tcW w:w="1389" w:type="dxa"/>
            <w:vAlign w:val="top"/>
          </w:tcPr>
          <w:p>
            <w:pPr>
              <w:spacing w:before="164" w:line="220" w:lineRule="auto"/>
              <w:ind w:left="400"/>
              <w:rPr>
                <w:rFonts w:ascii="宋体" w:hAnsi="宋体" w:eastAsia="宋体" w:cs="宋体"/>
                <w:sz w:val="22"/>
                <w:szCs w:val="22"/>
              </w:rPr>
            </w:pPr>
            <w:r>
              <w:rPr>
                <w:rFonts w:ascii="宋体" w:hAnsi="宋体" w:eastAsia="宋体" w:cs="宋体"/>
                <w:spacing w:val="5"/>
                <w:sz w:val="22"/>
                <w:szCs w:val="22"/>
              </w:rPr>
              <w:t>Programme</w:t>
            </w:r>
          </w:p>
        </w:tc>
        <w:tc>
          <w:tcPr>
            <w:tcW w:w="11236" w:type="dxa"/>
            <w:vAlign w:val="top"/>
          </w:tcPr>
          <w:p>
            <w:pPr>
              <w:spacing w:before="160" w:line="219" w:lineRule="auto"/>
              <w:ind w:left="5065"/>
              <w:rPr>
                <w:rFonts w:ascii="宋体" w:hAnsi="宋体" w:eastAsia="宋体" w:cs="宋体"/>
                <w:sz w:val="22"/>
                <w:szCs w:val="22"/>
              </w:rPr>
            </w:pPr>
            <w:r>
              <w:rPr>
                <w:rFonts w:ascii="宋体" w:hAnsi="宋体" w:eastAsia="宋体" w:cs="宋体"/>
                <w:b/>
                <w:bCs/>
                <w:spacing w:val="-17"/>
                <w:sz w:val="22"/>
                <w:szCs w:val="22"/>
              </w:rPr>
              <w:t>Contenu de la route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atLeast"/>
        </w:trPr>
        <w:tc>
          <w:tcPr>
            <w:tcW w:w="92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2" w:line="183" w:lineRule="auto"/>
              <w:ind w:left="394"/>
              <w:rPr>
                <w:rFonts w:ascii="宋体" w:hAnsi="宋体" w:eastAsia="宋体" w:cs="宋体"/>
                <w:sz w:val="22"/>
                <w:szCs w:val="22"/>
              </w:rPr>
            </w:pPr>
            <w:r>
              <w:rPr>
                <w:rFonts w:ascii="宋体" w:hAnsi="宋体" w:eastAsia="宋体" w:cs="宋体"/>
                <w:sz w:val="22"/>
                <w:szCs w:val="22"/>
              </w:rPr>
              <w:t>4</w:t>
            </w:r>
          </w:p>
        </w:tc>
        <w:tc>
          <w:tcPr>
            <w:tcW w:w="138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1" w:line="207" w:lineRule="auto"/>
              <w:ind w:left="10" w:right="48" w:firstLine="110"/>
              <w:jc w:val="both"/>
              <w:rPr>
                <w:rFonts w:ascii="宋体" w:hAnsi="宋体" w:eastAsia="宋体" w:cs="宋体"/>
                <w:sz w:val="22"/>
                <w:szCs w:val="22"/>
              </w:rPr>
            </w:pPr>
            <w:r>
              <w:rPr>
                <w:rFonts w:ascii="宋体" w:hAnsi="宋体" w:eastAsia="宋体" w:cs="宋体"/>
                <w:spacing w:val="22"/>
                <w:sz w:val="22"/>
                <w:szCs w:val="22"/>
              </w:rPr>
              <w:t>En Espagne, en France, en Afrique du Sud "double tour</w:t>
            </w:r>
          </w:p>
          <w:p>
            <w:pPr>
              <w:spacing w:line="220" w:lineRule="auto"/>
              <w:ind w:left="120"/>
              <w:rPr>
                <w:rFonts w:ascii="宋体" w:hAnsi="宋体" w:eastAsia="宋体" w:cs="宋体"/>
                <w:sz w:val="22"/>
                <w:szCs w:val="22"/>
              </w:rPr>
            </w:pPr>
            <w:r>
              <w:rPr>
                <w:rFonts w:ascii="宋体" w:hAnsi="宋体" w:eastAsia="宋体" w:cs="宋体"/>
                <w:spacing w:val="3"/>
                <w:sz w:val="22"/>
                <w:szCs w:val="22"/>
              </w:rPr>
              <w:t>« mission de visite »</w:t>
            </w:r>
          </w:p>
        </w:tc>
        <w:tc>
          <w:tcPr>
            <w:tcW w:w="11236" w:type="dxa"/>
            <w:vAlign w:val="top"/>
          </w:tcPr>
          <w:p>
            <w:pPr>
              <w:spacing w:before="240" w:line="219" w:lineRule="auto"/>
              <w:ind w:left="141"/>
              <w:rPr>
                <w:rFonts w:ascii="宋体" w:hAnsi="宋体" w:eastAsia="宋体" w:cs="宋体"/>
                <w:sz w:val="22"/>
                <w:szCs w:val="22"/>
              </w:rPr>
            </w:pPr>
            <w:r>
              <w:rPr>
                <w:rFonts w:ascii="宋体" w:hAnsi="宋体" w:eastAsia="宋体" w:cs="宋体"/>
                <w:spacing w:val="27"/>
                <w:sz w:val="22"/>
                <w:szCs w:val="22"/>
              </w:rPr>
              <w:t>Espagne, France, Afrique du Sud 3 pays pour un total de 10 jours de voyage.</w:t>
            </w:r>
          </w:p>
          <w:p>
            <w:pPr>
              <w:spacing w:before="59" w:line="258" w:lineRule="auto"/>
              <w:ind w:left="141"/>
              <w:rPr>
                <w:rFonts w:ascii="宋体" w:hAnsi="宋体" w:eastAsia="宋体" w:cs="宋体"/>
                <w:sz w:val="21"/>
                <w:szCs w:val="21"/>
              </w:rPr>
            </w:pPr>
            <w:r>
              <w:rPr>
                <w:rFonts w:ascii="宋体" w:hAnsi="宋体" w:eastAsia="宋体" w:cs="宋体"/>
                <w:spacing w:val="8"/>
                <w:sz w:val="21"/>
                <w:szCs w:val="21"/>
              </w:rPr>
              <w:t>Se rendre au parc de la science et de l'innovation de Madrid, visiter et visiter le parc de la science et de l'innovation de Madrid et les représentants des entreprises participantes, pour en savoir plus sur la construction du parc de la science et de l'innovation, ainsi que sur les services politiques fournis aux PME technologiques, aux incubateurs, etc. inscrits au parc, et contribuer à la construction d'une base offshore d'innovation et d'entrepreneuriat dans notre province, fournir un programme de construction de base et un programme de gestion opérationnelle; En Espagne, sedecal Medical Equipment GmbH, le plus grand fabricant de matériel médical d'Europe, possède une vaste expérience dans la fabrication d'instruments de recherche médicale dans le domaine du diagnostic d'imagerie tels que les machines à rayons X mobiles. En discutant avec l'unité pour explorer les solutions aux problèmes d'introduction de la fabrication d'équipements médicaux, guider les unités d'entreprise dans le domaine de la fabrication d'équipements médicaux dans notre province pour établir un programme de contrôle de la qualité et obtenir la certification du système de gestion de la qualité et la certification des produits; Visiter le Groupe Schneider en France pour échanger avec le Groupe et visiter le Centre d'innovation de Paris afin de promouvoir davantage l'introduction de projets d'intégration numérique dans le domaine de la gestion de l'énergie en entreprise; Organiser un « échange de talents scientifiques et technologiques entre la Chine et la France» pour échanger et explorer des questions telles que l'introduction de nouveaux projets énergétiques dans le Hebei, la formation de talents innovants en science et technologie et l'introduction d '« ingénieurs à l'étranger»; Participer à la « China South Africa Life &amp; Health Industry Fair », organiser le « Hebei Big Health Field double Call and Double citation site », échanger sur les tendances du développement de l'industrie médicale et les opportunités d'investissement autour des dispositifs médicaux, de la biomédecine, de la prévention sanitaire, de la médecine chinoise, de la santé numérique et d'autres sujets; Visitez le parc scientifique et technologique Chine - Afrique du Sud pour en savoir plus sur la coopération transfrontalière Chine - Afrique du Sud en matière d'incubation scientifique et technologique, ainsi que sur le nouveau système de services transfrontaliers tels que la recherche et le développement conjoints, la conversion des résultats, la promotion du marché, l'investissement et les fusions et acquisitions. (l'itinéraire réel du voyage peut être adapté aux besoins des unités inscrites)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92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1" w:line="182" w:lineRule="auto"/>
              <w:ind w:left="394"/>
              <w:rPr>
                <w:rFonts w:ascii="宋体" w:hAnsi="宋体" w:eastAsia="宋体" w:cs="宋体"/>
                <w:sz w:val="22"/>
                <w:szCs w:val="22"/>
              </w:rPr>
            </w:pPr>
            <w:r>
              <w:rPr>
                <w:rFonts w:ascii="宋体" w:hAnsi="宋体" w:eastAsia="宋体" w:cs="宋体"/>
                <w:sz w:val="22"/>
                <w:szCs w:val="22"/>
              </w:rPr>
              <w:t>5</w:t>
            </w:r>
          </w:p>
        </w:tc>
        <w:tc>
          <w:tcPr>
            <w:tcW w:w="138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2" w:line="211" w:lineRule="auto"/>
              <w:ind w:left="120" w:right="138"/>
              <w:jc w:val="both"/>
              <w:rPr>
                <w:rFonts w:ascii="宋体" w:hAnsi="宋体" w:eastAsia="宋体" w:cs="宋体"/>
                <w:sz w:val="22"/>
                <w:szCs w:val="22"/>
              </w:rPr>
            </w:pPr>
            <w:r>
              <w:rPr>
                <w:rFonts w:ascii="宋体" w:hAnsi="宋体" w:eastAsia="宋体" w:cs="宋体"/>
                <w:spacing w:val="2"/>
                <w:sz w:val="22"/>
                <w:szCs w:val="22"/>
              </w:rPr>
              <w:t>Mission « double appel » au Japon et en Corée du Sud</w:t>
            </w:r>
          </w:p>
        </w:tc>
        <w:tc>
          <w:tcPr>
            <w:tcW w:w="11236" w:type="dxa"/>
            <w:vAlign w:val="top"/>
          </w:tcPr>
          <w:p>
            <w:pPr>
              <w:spacing w:before="130" w:line="219" w:lineRule="auto"/>
              <w:ind w:left="145"/>
              <w:rPr>
                <w:rFonts w:ascii="宋体" w:hAnsi="宋体" w:eastAsia="宋体" w:cs="宋体"/>
                <w:sz w:val="22"/>
                <w:szCs w:val="22"/>
              </w:rPr>
            </w:pPr>
            <w:r>
              <w:rPr>
                <w:rFonts w:ascii="宋体" w:hAnsi="宋体" w:eastAsia="宋体" w:cs="宋体"/>
                <w:b/>
                <w:bCs/>
                <w:spacing w:val="27"/>
                <w:sz w:val="22"/>
                <w:szCs w:val="22"/>
              </w:rPr>
              <w:t>Japon, Corée du Sud 2 pays pour un total de 8 jours de voyage.</w:t>
            </w:r>
          </w:p>
          <w:p>
            <w:pPr>
              <w:spacing w:before="40" w:line="258" w:lineRule="auto"/>
              <w:ind w:left="141"/>
              <w:jc w:val="both"/>
              <w:rPr>
                <w:rFonts w:ascii="宋体" w:hAnsi="宋体" w:eastAsia="宋体" w:cs="宋体"/>
                <w:sz w:val="21"/>
                <w:szCs w:val="21"/>
              </w:rPr>
            </w:pPr>
            <w:r>
              <w:rPr>
                <w:rFonts w:ascii="宋体" w:hAnsi="宋体" w:eastAsia="宋体" w:cs="宋体"/>
                <w:spacing w:val="12"/>
                <w:sz w:val="21"/>
                <w:szCs w:val="21"/>
              </w:rPr>
              <w:t>Visite de l'Agence de promotion des investissements Japon - Chine, de l'Agence de coopération de la communauté asiatique et de Sumitomo Mitsui Bank, entre autres, pour échanger des informations sur les investissements japonais et chinois et les dernières nouvelles du parc industriel japonais et coréen; Visiter les principales entreprises de technologie environnementale du Japon, organiser la « réunion d'accueil Chine - Japon pour l'introduction de projets d'entreprise dans le domaine de la protection de l'environnement », promouvoir de nouveaux projets pertinents pour investir dans la construction du Hebei en dialoguant avec le niveau décisionnel des entreprises; Visiter Tokyo International Wellbeing Cultural Industries Co., Ltd. Pour discuter de l'introduction de projets de services de soins de santé Multi - types et multi - niveaux au Japon, ainsi que de l'introduction de fournitures auxiliaires de soins de santé de santé, et mener une étude des projets de soins de santé spécialisés à Nagoya, Fuji, Nagano, etc.; Avec KC Tech, développeur coréen de systèmes de polissage de plaquettes, DNF, fabricant d'équipements de test de semi - conducteurs, yik Corporation, etc., composants électroniques d'amarrage, vannes de précision, équipements semi - conducteurs, matériaux électroniques haut de gamme et d'autres domaines, et mener des négociations sur l'introduction de projets, prendre l'initiative de mener à bien le travail de « frappe» des marchands. (l'itinéraire réel du voyage peut être adapté aux besoins des unités inscrites)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24" w:type="dxa"/>
            <w:vAlign w:val="top"/>
          </w:tcPr>
          <w:p>
            <w:pPr>
              <w:spacing w:line="322" w:lineRule="auto"/>
              <w:rPr>
                <w:rFonts w:ascii="Arial"/>
                <w:sz w:val="21"/>
              </w:rPr>
            </w:pPr>
          </w:p>
          <w:p>
            <w:pPr>
              <w:spacing w:before="71" w:line="183" w:lineRule="auto"/>
              <w:ind w:left="394"/>
              <w:rPr>
                <w:rFonts w:ascii="宋体" w:hAnsi="宋体" w:eastAsia="宋体" w:cs="宋体"/>
                <w:sz w:val="22"/>
                <w:szCs w:val="22"/>
              </w:rPr>
            </w:pPr>
            <w:r>
              <w:rPr>
                <w:rFonts w:ascii="宋体" w:hAnsi="宋体" w:eastAsia="宋体" w:cs="宋体"/>
                <w:sz w:val="22"/>
                <w:szCs w:val="22"/>
              </w:rPr>
              <w:t>6</w:t>
            </w:r>
          </w:p>
        </w:tc>
        <w:tc>
          <w:tcPr>
            <w:tcW w:w="1389" w:type="dxa"/>
            <w:vAlign w:val="top"/>
          </w:tcPr>
          <w:p>
            <w:pPr>
              <w:spacing w:line="266" w:lineRule="auto"/>
              <w:rPr>
                <w:rFonts w:ascii="Arial"/>
                <w:sz w:val="21"/>
              </w:rPr>
            </w:pPr>
          </w:p>
          <w:p>
            <w:pPr>
              <w:spacing w:before="72" w:line="220" w:lineRule="auto"/>
              <w:ind w:left="120"/>
              <w:rPr>
                <w:rFonts w:ascii="宋体" w:hAnsi="宋体" w:eastAsia="宋体" w:cs="宋体"/>
                <w:sz w:val="22"/>
                <w:szCs w:val="22"/>
              </w:rPr>
            </w:pPr>
            <w:r>
              <w:rPr>
                <w:rFonts w:ascii="宋体" w:hAnsi="宋体" w:eastAsia="宋体" w:cs="宋体"/>
                <w:spacing w:val="-2"/>
                <w:sz w:val="22"/>
                <w:szCs w:val="22"/>
              </w:rPr>
              <w:t>Autres besoins</w:t>
            </w:r>
          </w:p>
        </w:tc>
        <w:tc>
          <w:tcPr>
            <w:tcW w:w="11236" w:type="dxa"/>
            <w:vAlign w:val="top"/>
          </w:tcPr>
          <w:p>
            <w:pPr>
              <w:spacing w:line="261" w:lineRule="auto"/>
              <w:rPr>
                <w:rFonts w:ascii="Arial"/>
                <w:sz w:val="21"/>
              </w:rPr>
            </w:pPr>
          </w:p>
          <w:p>
            <w:pPr>
              <w:spacing w:before="71" w:line="219" w:lineRule="auto"/>
              <w:ind w:left="145"/>
              <w:rPr>
                <w:rFonts w:ascii="宋体" w:hAnsi="宋体" w:eastAsia="宋体" w:cs="宋体"/>
                <w:sz w:val="22"/>
                <w:szCs w:val="22"/>
              </w:rPr>
            </w:pPr>
            <w:r>
              <w:rPr>
                <w:rFonts w:ascii="宋体" w:hAnsi="宋体" w:eastAsia="宋体" w:cs="宋体"/>
                <w:b/>
                <w:bCs/>
                <w:spacing w:val="17"/>
                <w:sz w:val="22"/>
                <w:szCs w:val="22"/>
              </w:rPr>
              <w:t>(service personnalisé disponible pour les groupes, veuillez décrire les autres besoins de voyage)</w:t>
            </w:r>
          </w:p>
        </w:tc>
      </w:tr>
    </w:tbl>
    <w:p>
      <w:pPr>
        <w:spacing w:line="285" w:lineRule="auto"/>
        <w:rPr>
          <w:rFonts w:ascii="Arial"/>
          <w:sz w:val="21"/>
        </w:rPr>
      </w:pPr>
    </w:p>
    <w:p>
      <w:pPr>
        <w:spacing w:line="285" w:lineRule="auto"/>
        <w:rPr>
          <w:rFonts w:ascii="Arial"/>
          <w:sz w:val="21"/>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8"/>
      <w:jc w:val="right"/>
      <w:rPr>
        <w:rFonts w:ascii="宋体" w:hAnsi="宋体" w:eastAsia="宋体" w:cs="宋体"/>
        <w:sz w:val="29"/>
        <w:szCs w:val="29"/>
      </w:rPr>
    </w:pPr>
    <w:r>
      <w:rPr>
        <w:rFonts w:ascii="宋体" w:hAnsi="宋体" w:eastAsia="宋体" w:cs="宋体"/>
        <w:spacing w:val="-3"/>
        <w:sz w:val="29"/>
        <w:szCs w:val="29"/>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24F94ED4"/>
    <w:rsid w:val="24F9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2023-03-28T02:39:00Z</dcterms:created>
  <dc:creator>会开小飞机~滴贝塔</dc:creator>
  <cp:lastModifiedBy>会开小飞机~滴贝塔</cp:lastModifiedBy>
  <dcterms:modified xsi:type="dcterms:W3CDTF">2023-03-28T02:41:12Z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4CE04D46A7434BB69988B2D188D9EC3C</vt:lpwstr>
  </property>
</Properties>
</file>